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642991">
      <w:pPr>
        <w:keepNext w:val="0"/>
        <w:keepLines w:val="0"/>
        <w:pageBreakBefore w:val="0"/>
        <w:widowControl w:val="0"/>
        <w:kinsoku/>
        <w:wordWrap/>
        <w:overflowPunct/>
        <w:topLinePunct w:val="0"/>
        <w:autoSpaceDE/>
        <w:autoSpaceDN/>
        <w:bidi w:val="0"/>
        <w:adjustRightInd/>
        <w:snapToGrid/>
        <w:spacing w:beforeLines="0" w:afterLines="0" w:line="580" w:lineRule="exact"/>
        <w:jc w:val="both"/>
        <w:textAlignment w:val="auto"/>
        <w:rPr>
          <w:rFonts w:hint="default" w:ascii="Times New Roman" w:hAnsi="Times New Roman" w:eastAsia="黑体" w:cs="Times New Roman"/>
          <w:sz w:val="32"/>
          <w:szCs w:val="32"/>
          <w:lang w:val="en-US" w:eastAsia="zh-CN"/>
        </w:rPr>
      </w:pPr>
      <w:r>
        <w:rPr>
          <w:rFonts w:hint="default" w:ascii="Times New Roman" w:hAnsi="Times New Roman" w:eastAsia="黑体" w:cs="Times New Roman"/>
          <w:sz w:val="32"/>
          <w:szCs w:val="32"/>
          <w:lang w:val="en-US" w:eastAsia="zh-CN"/>
        </w:rPr>
        <w:t>附件1-2</w:t>
      </w:r>
    </w:p>
    <w:p w14:paraId="33682A5D">
      <w:pPr>
        <w:pStyle w:val="2"/>
        <w:rPr>
          <w:rFonts w:hint="default"/>
          <w:lang w:val="en-US" w:eastAsia="zh-CN"/>
        </w:rPr>
      </w:pPr>
    </w:p>
    <w:p w14:paraId="72B9DCE8">
      <w:pPr>
        <w:keepNext w:val="0"/>
        <w:keepLines w:val="0"/>
        <w:pageBreakBefore w:val="0"/>
        <w:widowControl w:val="0"/>
        <w:kinsoku/>
        <w:wordWrap/>
        <w:overflowPunct/>
        <w:topLinePunct w:val="0"/>
        <w:autoSpaceDE/>
        <w:autoSpaceDN/>
        <w:bidi w:val="0"/>
        <w:adjustRightInd/>
        <w:snapToGrid/>
        <w:spacing w:beforeLines="0" w:afterLines="0" w:line="580" w:lineRule="exact"/>
        <w:jc w:val="center"/>
        <w:textAlignment w:val="auto"/>
        <w:rPr>
          <w:rFonts w:hint="eastAsia" w:ascii="方正小标宋简体" w:hAnsi="方正小标宋简体" w:eastAsia="方正小标宋简体" w:cs="方正小标宋简体"/>
          <w:sz w:val="42"/>
          <w:szCs w:val="42"/>
          <w:lang w:val="en-US" w:eastAsia="zh-CN"/>
        </w:rPr>
      </w:pPr>
      <w:r>
        <w:rPr>
          <w:rFonts w:hint="eastAsia" w:ascii="方正小标宋简体" w:hAnsi="方正小标宋简体" w:eastAsia="方正小标宋简体" w:cs="方正小标宋简体"/>
          <w:sz w:val="42"/>
          <w:szCs w:val="42"/>
          <w:lang w:val="en-US" w:eastAsia="zh-CN"/>
        </w:rPr>
        <w:t>东莞市新型储能创新载体建设奖励工作指引</w:t>
      </w:r>
    </w:p>
    <w:p w14:paraId="690F4557">
      <w:pPr>
        <w:pStyle w:val="2"/>
        <w:spacing w:after="0" w:line="580" w:lineRule="exact"/>
        <w:rPr>
          <w:rFonts w:hint="eastAsia"/>
          <w:lang w:val="en-US" w:eastAsia="zh-CN"/>
        </w:rPr>
      </w:pPr>
    </w:p>
    <w:p w14:paraId="4608365B">
      <w:pPr>
        <w:keepNext w:val="0"/>
        <w:keepLines w:val="0"/>
        <w:pageBreakBefore w:val="0"/>
        <w:widowControl w:val="0"/>
        <w:kinsoku/>
        <w:wordWrap/>
        <w:overflowPunct/>
        <w:topLinePunct w:val="0"/>
        <w:autoSpaceDE/>
        <w:autoSpaceDN/>
        <w:bidi w:val="0"/>
        <w:adjustRightInd/>
        <w:snapToGrid/>
        <w:spacing w:beforeLines="0" w:afterLines="0" w:line="580" w:lineRule="exact"/>
        <w:ind w:firstLine="647"/>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根据《东莞市加快新型储能产业高质量发展若干措施》（东发改〔</w:t>
      </w:r>
      <w:r>
        <w:rPr>
          <w:rFonts w:hint="default" w:ascii="Times New Roman" w:hAnsi="Times New Roman" w:eastAsia="仿宋_GB2312" w:cs="Times New Roman"/>
          <w:sz w:val="32"/>
          <w:szCs w:val="32"/>
          <w:lang w:val="en-US" w:eastAsia="zh-CN"/>
        </w:rPr>
        <w:t>2023</w:t>
      </w:r>
      <w:r>
        <w:rPr>
          <w:rFonts w:hint="eastAsia" w:ascii="仿宋_GB2312" w:hAnsi="仿宋_GB2312" w:eastAsia="仿宋_GB2312" w:cs="仿宋_GB2312"/>
          <w:sz w:val="32"/>
          <w:szCs w:val="32"/>
          <w:lang w:val="en-US" w:eastAsia="zh-CN"/>
        </w:rPr>
        <w:t>〕</w:t>
      </w:r>
      <w:r>
        <w:rPr>
          <w:rFonts w:hint="default" w:ascii="Times New Roman" w:hAnsi="Times New Roman" w:eastAsia="仿宋_GB2312" w:cs="Times New Roman"/>
          <w:sz w:val="32"/>
          <w:szCs w:val="32"/>
          <w:lang w:val="en-US" w:eastAsia="zh-CN"/>
        </w:rPr>
        <w:t>95</w:t>
      </w:r>
      <w:r>
        <w:rPr>
          <w:rFonts w:hint="eastAsia" w:ascii="仿宋_GB2312" w:hAnsi="仿宋_GB2312" w:eastAsia="仿宋_GB2312" w:cs="仿宋_GB2312"/>
          <w:sz w:val="32"/>
          <w:szCs w:val="32"/>
          <w:lang w:val="en-US" w:eastAsia="zh-CN"/>
        </w:rPr>
        <w:t>号）第二点第（五）条，制定本工作指引。</w:t>
      </w:r>
    </w:p>
    <w:p w14:paraId="5B06547B">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申报对象</w:t>
      </w:r>
    </w:p>
    <w:p w14:paraId="466C3499">
      <w:pPr>
        <w:keepNext w:val="0"/>
        <w:keepLines w:val="0"/>
        <w:pageBreakBefore w:val="0"/>
        <w:widowControl w:val="0"/>
        <w:numPr>
          <w:ilvl w:val="-1"/>
          <w:numId w:val="0"/>
        </w:numPr>
        <w:kinsoku/>
        <w:wordWrap/>
        <w:overflowPunct/>
        <w:topLinePunct w:val="0"/>
        <w:autoSpaceDE/>
        <w:autoSpaceDN/>
        <w:bidi w:val="0"/>
        <w:adjustRightInd/>
        <w:snapToGrid/>
        <w:spacing w:beforeLines="0" w:after="0" w:afterLines="0" w:afterAutospacing="0" w:line="580" w:lineRule="exact"/>
        <w:ind w:firstLine="640" w:firstLineChars="200"/>
        <w:jc w:val="both"/>
        <w:textAlignment w:val="auto"/>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highlight w:val="none"/>
          <w:lang w:val="en-US" w:eastAsia="zh-CN"/>
        </w:rPr>
        <w:t>在东莞市行政区域内依法设立</w:t>
      </w:r>
      <w:r>
        <w:rPr>
          <w:rFonts w:hint="default" w:ascii="Times New Roman" w:hAnsi="Times New Roman" w:eastAsia="仿宋_GB2312" w:cs="Times New Roman"/>
          <w:sz w:val="32"/>
          <w:szCs w:val="32"/>
          <w:highlight w:val="none"/>
          <w:lang w:val="en-US" w:eastAsia="zh-CN"/>
        </w:rPr>
        <w:t>，</w:t>
      </w:r>
      <w:r>
        <w:rPr>
          <w:rFonts w:hint="default" w:ascii="Times New Roman" w:hAnsi="Times New Roman" w:eastAsia="仿宋_GB2312" w:cs="Times New Roman"/>
          <w:sz w:val="32"/>
          <w:szCs w:val="32"/>
        </w:rPr>
        <w:t>专门从事新型储能领域相关产业研发生产及服务的相关企业、事业单位、社会团体或民办非企业等机构</w:t>
      </w:r>
      <w:r>
        <w:rPr>
          <w:rFonts w:hint="default" w:ascii="Times New Roman" w:hAnsi="Times New Roman" w:eastAsia="仿宋_GB2312" w:cs="Times New Roman"/>
          <w:sz w:val="32"/>
          <w:szCs w:val="32"/>
          <w:lang w:val="en-US" w:eastAsia="zh-CN"/>
        </w:rPr>
        <w:t>。</w:t>
      </w:r>
    </w:p>
    <w:p w14:paraId="0E84A3E2">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申报条件</w:t>
      </w:r>
    </w:p>
    <w:p w14:paraId="3BD053B6">
      <w:pPr>
        <w:keepNext w:val="0"/>
        <w:keepLines w:val="0"/>
        <w:pageBreakBefore w:val="0"/>
        <w:widowControl w:val="0"/>
        <w:numPr>
          <w:ilvl w:val="0"/>
          <w:numId w:val="2"/>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面向高安全、低成本、长寿命新型储能电池及储能系统发展需求布局建设，且已获得国家级或省级重点实验室、工程技术研究中心、工程研究中心、企业技术中心、产业创新中心等立项（认定）。</w:t>
      </w:r>
    </w:p>
    <w:p w14:paraId="0F6A3F63">
      <w:pPr>
        <w:keepNext w:val="0"/>
        <w:keepLines w:val="0"/>
        <w:pageBreakBefore w:val="0"/>
        <w:widowControl w:val="0"/>
        <w:numPr>
          <w:ilvl w:val="0"/>
          <w:numId w:val="2"/>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项目单位应拥有较强的技术开发和项目实施能力，经营管理状况良好，财务制度健全，具有较高水平的研发成果和技术储备，具备良好的产学研合作基础。</w:t>
      </w:r>
    </w:p>
    <w:p w14:paraId="350DCB2B">
      <w:pPr>
        <w:keepNext w:val="0"/>
        <w:keepLines w:val="0"/>
        <w:pageBreakBefore w:val="0"/>
        <w:widowControl w:val="0"/>
        <w:numPr>
          <w:ilvl w:val="0"/>
          <w:numId w:val="2"/>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项目负责人在相关技术领域具有一定学术地位或技术优势，具有完成项目所需要的组织管理和协调能力。</w:t>
      </w:r>
    </w:p>
    <w:p w14:paraId="1EDC9CE7">
      <w:pPr>
        <w:keepNext w:val="0"/>
        <w:keepLines w:val="0"/>
        <w:pageBreakBefore w:val="0"/>
        <w:widowControl w:val="0"/>
        <w:numPr>
          <w:ilvl w:val="0"/>
          <w:numId w:val="2"/>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项目采用的自主技术成果（包括自主知识产权、消化吸收创新、国内外联合开发的技术等）具有先进性和良好的推广应用价值。</w:t>
      </w:r>
    </w:p>
    <w:p w14:paraId="6D8A9EEB">
      <w:pPr>
        <w:keepNext w:val="0"/>
        <w:keepLines w:val="0"/>
        <w:pageBreakBefore w:val="0"/>
        <w:widowControl w:val="0"/>
        <w:numPr>
          <w:ilvl w:val="0"/>
          <w:numId w:val="2"/>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项目未获得过同类型市级财政资金支持。申报单位不存在财政专项资金不予资助的情形。申报单位未违反国家、省、市联合惩戒政策和制度规定，未被列为失信联合惩戒对象。</w:t>
      </w:r>
    </w:p>
    <w:p w14:paraId="757D2E3C">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资助方式与标准</w:t>
      </w:r>
    </w:p>
    <w:p w14:paraId="78E5E395">
      <w:pPr>
        <w:keepNext w:val="0"/>
        <w:keepLines w:val="0"/>
        <w:pageBreakBefore w:val="0"/>
        <w:widowControl w:val="0"/>
        <w:numPr>
          <w:ilvl w:val="-1"/>
          <w:numId w:val="0"/>
        </w:numPr>
        <w:kinsoku/>
        <w:wordWrap/>
        <w:overflowPunct/>
        <w:topLinePunct w:val="0"/>
        <w:autoSpaceDE/>
        <w:autoSpaceDN/>
        <w:bidi w:val="0"/>
        <w:adjustRightInd/>
        <w:snapToGrid/>
        <w:spacing w:beforeLines="0" w:afterLines="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获得国家部委认定的重点实验室，给予一次性500万元奖励；获得国家部委认定的产业创新中心、工程研究中心，给予一次性400万元奖励；获得国家部委认定的工程技术研究中心、企业技术中心，给予一次性300万元奖励</w:t>
      </w:r>
      <w:r>
        <w:rPr>
          <w:rFonts w:hint="eastAsia"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lang w:val="en-US" w:eastAsia="zh-CN"/>
        </w:rPr>
        <w:t>获得广东省发展改革委认定的工程研究中心，给予一次性200万元奖励</w:t>
      </w:r>
      <w:r>
        <w:rPr>
          <w:rFonts w:hint="eastAsia" w:ascii="仿宋_GB2312" w:hAnsi="仿宋_GB2312" w:eastAsia="仿宋_GB2312" w:cs="仿宋_GB2312"/>
          <w:sz w:val="32"/>
          <w:szCs w:val="32"/>
          <w:lang w:val="en-US" w:eastAsia="zh-CN"/>
        </w:rPr>
        <w:t>。</w:t>
      </w:r>
    </w:p>
    <w:p w14:paraId="06602629">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申报材料</w:t>
      </w:r>
    </w:p>
    <w:p w14:paraId="15D4D91A">
      <w:pPr>
        <w:keepNext w:val="0"/>
        <w:keepLines w:val="0"/>
        <w:pageBreakBefore w:val="0"/>
        <w:widowControl w:val="0"/>
        <w:numPr>
          <w:ilvl w:val="0"/>
          <w:numId w:val="3"/>
        </w:numPr>
        <w:tabs>
          <w:tab w:val="left" w:pos="816"/>
        </w:tabs>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新型储能创新载体建设</w:t>
      </w:r>
      <w:r>
        <w:rPr>
          <w:rFonts w:hint="eastAsia" w:ascii="仿宋_GB2312" w:hAnsi="仿宋_GB2312" w:eastAsia="仿宋_GB2312" w:cs="仿宋_GB2312"/>
          <w:sz w:val="32"/>
          <w:szCs w:val="32"/>
          <w:lang w:eastAsia="zh-CN"/>
        </w:rPr>
        <w:t>奖励</w:t>
      </w:r>
      <w:r>
        <w:rPr>
          <w:rFonts w:hint="eastAsia" w:ascii="仿宋_GB2312" w:hAnsi="仿宋_GB2312" w:eastAsia="仿宋_GB2312" w:cs="仿宋_GB2312"/>
          <w:sz w:val="32"/>
          <w:szCs w:val="32"/>
        </w:rPr>
        <w:t>申请表</w:t>
      </w:r>
      <w:r>
        <w:rPr>
          <w:rFonts w:hint="eastAsia" w:ascii="仿宋_GB2312" w:hAnsi="仿宋_GB2312" w:eastAsia="仿宋_GB2312" w:cs="仿宋_GB2312"/>
          <w:sz w:val="32"/>
          <w:szCs w:val="32"/>
          <w:lang w:eastAsia="zh-CN"/>
        </w:rPr>
        <w:t>；</w:t>
      </w:r>
    </w:p>
    <w:p w14:paraId="4C565029">
      <w:pPr>
        <w:keepNext w:val="0"/>
        <w:keepLines w:val="0"/>
        <w:pageBreakBefore w:val="0"/>
        <w:widowControl w:val="0"/>
        <w:numPr>
          <w:ilvl w:val="0"/>
          <w:numId w:val="3"/>
        </w:numPr>
        <w:tabs>
          <w:tab w:val="left" w:pos="816"/>
        </w:tabs>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项目资金申请报告；</w:t>
      </w:r>
    </w:p>
    <w:p w14:paraId="20B24297">
      <w:pPr>
        <w:keepNext w:val="0"/>
        <w:keepLines w:val="0"/>
        <w:pageBreakBefore w:val="0"/>
        <w:widowControl w:val="0"/>
        <w:numPr>
          <w:ilvl w:val="0"/>
          <w:numId w:val="3"/>
        </w:numPr>
        <w:tabs>
          <w:tab w:val="left" w:pos="816"/>
        </w:tabs>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申报</w:t>
      </w:r>
      <w:r>
        <w:rPr>
          <w:rFonts w:hint="eastAsia" w:ascii="仿宋_GB2312" w:hAnsi="仿宋_GB2312" w:eastAsia="仿宋_GB2312" w:cs="仿宋_GB2312"/>
          <w:sz w:val="32"/>
          <w:szCs w:val="32"/>
          <w:lang w:val="en-US" w:eastAsia="zh-CN"/>
        </w:rPr>
        <w:t>单位资质材料；</w:t>
      </w:r>
    </w:p>
    <w:p w14:paraId="0C234F6B">
      <w:pPr>
        <w:keepNext w:val="0"/>
        <w:keepLines w:val="0"/>
        <w:pageBreakBefore w:val="0"/>
        <w:widowControl w:val="0"/>
        <w:numPr>
          <w:ilvl w:val="0"/>
          <w:numId w:val="3"/>
        </w:numPr>
        <w:tabs>
          <w:tab w:val="left" w:pos="816"/>
        </w:tabs>
        <w:kinsoku/>
        <w:wordWrap/>
        <w:overflowPunct/>
        <w:topLinePunct w:val="0"/>
        <w:autoSpaceDE/>
        <w:autoSpaceDN/>
        <w:bidi w:val="0"/>
        <w:adjustRightInd/>
        <w:snapToGrid/>
        <w:spacing w:beforeLines="0" w:afterLines="0" w:line="580" w:lineRule="exact"/>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国家级或省级重点实验室、工程研究中心、工程技术研究中心、企业技术中心、产业创新中心等立项建设批复文件，已通过相关部门验收的还需提供项目验收文件；</w:t>
      </w:r>
    </w:p>
    <w:p w14:paraId="37912588">
      <w:pPr>
        <w:keepNext w:val="0"/>
        <w:keepLines w:val="0"/>
        <w:pageBreakBefore w:val="0"/>
        <w:widowControl w:val="0"/>
        <w:numPr>
          <w:ilvl w:val="0"/>
          <w:numId w:val="3"/>
        </w:numPr>
        <w:tabs>
          <w:tab w:val="left" w:pos="816"/>
        </w:tabs>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有关资料真实性的承诺函。</w:t>
      </w:r>
    </w:p>
    <w:p w14:paraId="396606FC">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申报流程</w:t>
      </w:r>
    </w:p>
    <w:p w14:paraId="5E1171E3">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组织申报。每年</w:t>
      </w:r>
      <w:r>
        <w:rPr>
          <w:rFonts w:hint="eastAsia" w:ascii="Times New Roman" w:hAnsi="Times New Roman" w:eastAsia="仿宋_GB2312" w:cs="Times New Roman"/>
          <w:sz w:val="32"/>
          <w:szCs w:val="32"/>
          <w:lang w:val="en-US" w:eastAsia="zh-CN"/>
        </w:rPr>
        <w:t>5—6</w:t>
      </w:r>
      <w:r>
        <w:rPr>
          <w:rFonts w:hint="eastAsia" w:ascii="仿宋_GB2312" w:hAnsi="仿宋_GB2312" w:eastAsia="仿宋_GB2312" w:cs="仿宋_GB2312"/>
          <w:sz w:val="32"/>
          <w:szCs w:val="32"/>
          <w:lang w:val="en-US" w:eastAsia="zh-CN"/>
        </w:rPr>
        <w:t>月开展一次组织申报工作，通过线上平台进行申报，市发展改革局发布申报文件，申报单位登陆“企莞家”</w:t>
      </w:r>
      <w:r>
        <w:rPr>
          <w:rFonts w:hint="default" w:ascii="Times New Roman" w:hAnsi="Times New Roman" w:eastAsia="仿宋_GB2312" w:cs="Times New Roman"/>
          <w:sz w:val="32"/>
          <w:szCs w:val="32"/>
          <w:lang w:val="en-US" w:eastAsia="zh-CN"/>
        </w:rPr>
        <w:t>（https://zwfw.dg.gov.cn/dgecsp），</w:t>
      </w:r>
      <w:r>
        <w:rPr>
          <w:rFonts w:hint="eastAsia" w:ascii="仿宋_GB2312" w:hAnsi="仿宋_GB2312" w:eastAsia="仿宋_GB2312" w:cs="仿宋_GB2312"/>
          <w:sz w:val="32"/>
          <w:szCs w:val="32"/>
          <w:lang w:val="en-US" w:eastAsia="zh-CN"/>
        </w:rPr>
        <w:t>找到对应栏目进行线上申报。</w:t>
      </w:r>
    </w:p>
    <w:p w14:paraId="7733DD61">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形式审核。申报单位提交申请后，市政务服务中心综合窗口、市发改局依次对申报材料进行网上预审，核查业务材料并出具预审意见。</w:t>
      </w:r>
    </w:p>
    <w:p w14:paraId="633E5B32">
      <w:pPr>
        <w:keepNext w:val="0"/>
        <w:keepLines w:val="0"/>
        <w:pageBreakBefore w:val="0"/>
        <w:widowControl w:val="0"/>
        <w:numPr>
          <w:ilvl w:val="0"/>
          <w:numId w:val="4"/>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组织评审。</w:t>
      </w:r>
      <w:r>
        <w:rPr>
          <w:rFonts w:hint="eastAsia" w:ascii="仿宋_GB2312" w:hAnsi="仿宋_GB2312" w:eastAsia="仿宋_GB2312" w:cs="仿宋_GB2312"/>
          <w:sz w:val="32"/>
          <w:szCs w:val="32"/>
          <w:lang w:eastAsia="zh-CN"/>
        </w:rPr>
        <w:t>市发展改革局对</w:t>
      </w:r>
      <w:bookmarkStart w:id="0" w:name="_GoBack"/>
      <w:bookmarkEnd w:id="0"/>
      <w:r>
        <w:rPr>
          <w:rFonts w:hint="eastAsia" w:ascii="仿宋_GB2312" w:hAnsi="仿宋_GB2312" w:eastAsia="仿宋_GB2312" w:cs="仿宋_GB2312"/>
          <w:sz w:val="32"/>
          <w:szCs w:val="32"/>
          <w:lang w:eastAsia="zh-CN"/>
        </w:rPr>
        <w:t>申报资料进行评审，并同步</w:t>
      </w:r>
      <w:r>
        <w:rPr>
          <w:rFonts w:hint="eastAsia" w:ascii="仿宋_GB2312" w:hAnsi="仿宋_GB2312" w:eastAsia="仿宋_GB2312" w:cs="仿宋_GB2312"/>
          <w:sz w:val="32"/>
          <w:szCs w:val="32"/>
          <w:lang w:val="en-US" w:eastAsia="zh-CN"/>
        </w:rPr>
        <w:t>征求市科技局、市工业和信息化局等有关部门意见，确有需要，可委托专家开展核查，形成综合意见。</w:t>
      </w:r>
    </w:p>
    <w:p w14:paraId="37FEC803">
      <w:pPr>
        <w:numPr>
          <w:ilvl w:val="0"/>
          <w:numId w:val="4"/>
        </w:numPr>
        <w:spacing w:beforeLines="0" w:afterLines="0" w:line="58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社会公示。市发展改革局将</w:t>
      </w:r>
      <w:r>
        <w:rPr>
          <w:rFonts w:hint="eastAsia" w:ascii="仿宋_GB2312" w:hAnsi="仿宋_GB2312" w:eastAsia="仿宋_GB2312" w:cs="仿宋_GB2312"/>
          <w:sz w:val="32"/>
          <w:szCs w:val="32"/>
        </w:rPr>
        <w:t>项目资助计划</w:t>
      </w:r>
      <w:r>
        <w:rPr>
          <w:rFonts w:hint="eastAsia" w:ascii="仿宋_GB2312" w:hAnsi="仿宋_GB2312" w:eastAsia="仿宋_GB2312" w:cs="仿宋_GB2312"/>
          <w:sz w:val="32"/>
          <w:szCs w:val="32"/>
          <w:lang w:val="en-US" w:eastAsia="zh-CN"/>
        </w:rPr>
        <w:t>向社会进行</w:t>
      </w:r>
      <w:r>
        <w:rPr>
          <w:rFonts w:hint="eastAsia" w:ascii="仿宋_GB2312" w:hAnsi="仿宋_GB2312" w:eastAsia="仿宋_GB2312" w:cs="仿宋_GB2312"/>
          <w:sz w:val="32"/>
          <w:szCs w:val="32"/>
        </w:rPr>
        <w:t>为期</w:t>
      </w:r>
      <w:r>
        <w:rPr>
          <w:rFonts w:hint="default" w:ascii="Times New Roman" w:hAnsi="Times New Roman" w:eastAsia="仿宋_GB2312" w:cs="Times New Roman"/>
          <w:sz w:val="32"/>
          <w:szCs w:val="32"/>
          <w:lang w:eastAsia="zh-CN"/>
        </w:rPr>
        <w:t>5</w:t>
      </w:r>
      <w:r>
        <w:rPr>
          <w:rFonts w:hint="default" w:ascii="Times New Roman" w:hAnsi="Times New Roman" w:eastAsia="仿宋_GB2312" w:cs="Times New Roman"/>
          <w:sz w:val="32"/>
          <w:szCs w:val="32"/>
        </w:rPr>
        <w:t>天</w:t>
      </w:r>
      <w:r>
        <w:rPr>
          <w:rFonts w:hint="eastAsia" w:ascii="仿宋_GB2312" w:hAnsi="仿宋_GB2312" w:eastAsia="仿宋_GB2312" w:cs="仿宋_GB2312"/>
          <w:sz w:val="32"/>
          <w:szCs w:val="32"/>
        </w:rPr>
        <w:t>的公示。</w:t>
      </w:r>
      <w:r>
        <w:rPr>
          <w:rFonts w:hint="eastAsia" w:ascii="仿宋_GB2312" w:hAnsi="仿宋_GB2312" w:eastAsia="仿宋_GB2312" w:cs="仿宋_GB2312"/>
          <w:sz w:val="32"/>
          <w:szCs w:val="32"/>
          <w:lang w:eastAsia="zh-CN"/>
        </w:rPr>
        <w:t>公示有异议的项目，将会同有关单位进一步核实，经核实不符合条件的项目不予支持。</w:t>
      </w:r>
    </w:p>
    <w:p w14:paraId="0813C4BA">
      <w:pPr>
        <w:numPr>
          <w:ilvl w:val="0"/>
          <w:numId w:val="4"/>
        </w:numPr>
        <w:spacing w:beforeLines="0" w:afterLines="0"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上报市政府。市发展改革局</w:t>
      </w:r>
      <w:r>
        <w:rPr>
          <w:rFonts w:hint="eastAsia" w:ascii="仿宋_GB2312" w:hAnsi="仿宋_GB2312" w:eastAsia="仿宋_GB2312" w:cs="仿宋_GB2312"/>
          <w:sz w:val="32"/>
          <w:szCs w:val="32"/>
        </w:rPr>
        <w:t>将公示无异议或异议排除后的资助计划上报市政府。</w:t>
      </w:r>
    </w:p>
    <w:p w14:paraId="25598E1D">
      <w:pPr>
        <w:numPr>
          <w:ilvl w:val="0"/>
          <w:numId w:val="4"/>
        </w:numPr>
        <w:spacing w:beforeLines="0" w:afterLines="0" w:line="580" w:lineRule="exact"/>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资金拨付。市政府批准资助计划后，市</w:t>
      </w:r>
      <w:r>
        <w:rPr>
          <w:rFonts w:hint="eastAsia" w:ascii="仿宋_GB2312" w:hAnsi="仿宋_GB2312" w:eastAsia="仿宋_GB2312" w:cs="仿宋_GB2312"/>
          <w:sz w:val="32"/>
          <w:szCs w:val="32"/>
          <w:lang w:eastAsia="zh-CN"/>
        </w:rPr>
        <w:t>发展改革</w:t>
      </w:r>
      <w:r>
        <w:rPr>
          <w:rFonts w:hint="eastAsia" w:ascii="仿宋_GB2312" w:hAnsi="仿宋_GB2312" w:eastAsia="仿宋_GB2312" w:cs="仿宋_GB2312"/>
          <w:sz w:val="32"/>
          <w:szCs w:val="32"/>
        </w:rPr>
        <w:t>局按照工作流程办理资金拨付。</w:t>
      </w:r>
    </w:p>
    <w:p w14:paraId="488305A4">
      <w:pPr>
        <w:keepNext w:val="0"/>
        <w:keepLines w:val="0"/>
        <w:pageBreakBefore w:val="0"/>
        <w:widowControl w:val="0"/>
        <w:numPr>
          <w:ilvl w:val="0"/>
          <w:numId w:val="1"/>
        </w:numPr>
        <w:kinsoku/>
        <w:wordWrap/>
        <w:overflowPunct/>
        <w:topLinePunct w:val="0"/>
        <w:autoSpaceDE/>
        <w:autoSpaceDN/>
        <w:bidi w:val="0"/>
        <w:adjustRightInd/>
        <w:snapToGrid/>
        <w:spacing w:beforeLines="0" w:afterLines="0" w:line="580" w:lineRule="exact"/>
        <w:ind w:firstLine="647"/>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监督检查</w:t>
      </w:r>
    </w:p>
    <w:p w14:paraId="59E9A505">
      <w:pPr>
        <w:keepNext w:val="0"/>
        <w:keepLines w:val="0"/>
        <w:pageBreakBefore w:val="0"/>
        <w:widowControl w:val="0"/>
        <w:numPr>
          <w:ilvl w:val="0"/>
          <w:numId w:val="5"/>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资金申请方必须对所提供的有关资料真实性负责。资金申请方需出具承诺函，承诺所提供资料真实，如提供虚假资料所造成的一切后果由资金申请方负责。市发展改革局对申报项目进行不定期抽查，如经查实存在违法违规行为的，按照《财政违法行为处罚处分条例》及市级财政专项资金有关文件规定进行处理。 </w:t>
      </w:r>
    </w:p>
    <w:p w14:paraId="0DBA55FC">
      <w:pPr>
        <w:keepNext w:val="0"/>
        <w:keepLines w:val="0"/>
        <w:pageBreakBefore w:val="0"/>
        <w:widowControl w:val="0"/>
        <w:numPr>
          <w:ilvl w:val="0"/>
          <w:numId w:val="5"/>
        </w:numPr>
        <w:kinsoku/>
        <w:wordWrap/>
        <w:overflowPunct/>
        <w:topLinePunct w:val="0"/>
        <w:autoSpaceDE/>
        <w:autoSpaceDN/>
        <w:bidi w:val="0"/>
        <w:adjustRightInd/>
        <w:snapToGrid/>
        <w:spacing w:beforeLines="0" w:afterLines="0" w:line="580" w:lineRule="exact"/>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专项资金的监督管理、绩效评价、信息公开及责任追究等按照市政府出台的关于市级财政专项资金管理办法、财务管理办法、绩效评价、责任追究等办法规定执行。市发展改革局落实资金项目的监督检查，跟进资助单位运营情况及资助项目实施情况，优化资金使用。</w:t>
      </w:r>
    </w:p>
    <w:p w14:paraId="7693F3D9">
      <w:pPr>
        <w:keepNext w:val="0"/>
        <w:keepLines w:val="0"/>
        <w:pageBreakBefore w:val="0"/>
        <w:widowControl w:val="0"/>
        <w:numPr>
          <w:ilvl w:val="0"/>
          <w:numId w:val="5"/>
        </w:numPr>
        <w:kinsoku/>
        <w:wordWrap/>
        <w:overflowPunct/>
        <w:topLinePunct w:val="0"/>
        <w:autoSpaceDE/>
        <w:autoSpaceDN/>
        <w:bidi w:val="0"/>
        <w:adjustRightInd/>
        <w:snapToGrid/>
        <w:spacing w:beforeLines="0" w:afterLines="0" w:line="580" w:lineRule="exact"/>
        <w:ind w:firstLine="640" w:firstLineChars="200"/>
        <w:jc w:val="both"/>
        <w:textAlignment w:val="auto"/>
        <w:rPr>
          <w:rFonts w:hint="eastAsia" w:ascii="黑体" w:hAnsi="黑体" w:eastAsia="黑体" w:cs="黑体"/>
          <w:sz w:val="32"/>
          <w:szCs w:val="32"/>
          <w:lang w:val="en-US" w:eastAsia="zh-CN"/>
        </w:rPr>
      </w:pPr>
      <w:r>
        <w:rPr>
          <w:rFonts w:hint="eastAsia" w:ascii="仿宋_GB2312" w:hAnsi="仿宋_GB2312" w:eastAsia="仿宋_GB2312" w:cs="仿宋_GB2312"/>
          <w:sz w:val="32"/>
          <w:szCs w:val="32"/>
          <w:lang w:val="en-US" w:eastAsia="zh-CN"/>
        </w:rPr>
        <w:t>获得专项资金的项目单位要切实加强对专项资金的使用管理，自觉接受市发展改革局、财政、审计、监察部门的监督检查，严格执行财务规章制度和会计核算办法。项目单位如有弄虚作假、挪用、不按规定使用专项资金等行为，将收回专项资金并按有关规定追究责任。</w:t>
      </w:r>
    </w:p>
    <w:sectPr>
      <w:footerReference r:id="rId3" w:type="default"/>
      <w:pgSz w:w="11906" w:h="16838"/>
      <w:pgMar w:top="1871" w:right="1531" w:bottom="1417" w:left="1531"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altName w:val="方正书宋_GBK"/>
    <w:panose1 w:val="00000000000000000000"/>
    <w:charset w:val="86"/>
    <w:family w:val="auto"/>
    <w:pitch w:val="default"/>
    <w:sig w:usb0="00000000" w:usb1="00000000" w:usb2="00000000" w:usb3="00000000" w:csb0="00000000" w:csb1="00000000"/>
  </w:font>
  <w:font w:name="Wingdings">
    <w:altName w:val="MS Outlook"/>
    <w:panose1 w:val="05000000000000000000"/>
    <w:charset w:val="02"/>
    <w:family w:val="auto"/>
    <w:pitch w:val="default"/>
    <w:sig w:usb0="00000000" w:usb1="00000000" w:usb2="00000000" w:usb3="00000000" w:csb0="80000000" w:csb1="00000000"/>
  </w:font>
  <w:font w:name="Arial">
    <w:panose1 w:val="020B0606020202030204"/>
    <w:charset w:val="01"/>
    <w:family w:val="swiss"/>
    <w:pitch w:val="default"/>
    <w:sig w:usb0="00000287" w:usb1="00000800" w:usb2="00000000" w:usb3="00000000" w:csb0="2000009F" w:csb1="DFD70000"/>
  </w:font>
  <w:font w:name="黑体">
    <w:panose1 w:val="02010600030101010101"/>
    <w:charset w:val="86"/>
    <w:family w:val="auto"/>
    <w:pitch w:val="default"/>
    <w:sig w:usb0="00000001" w:usb1="080E0000" w:usb2="00000000" w:usb3="00000000" w:csb0="00040000"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Wingdings 3"/>
    <w:panose1 w:val="05050102010706020507"/>
    <w:charset w:val="02"/>
    <w:family w:val="roman"/>
    <w:pitch w:val="default"/>
    <w:sig w:usb0="00000000" w:usb1="00000000" w:usb2="00000000" w:usb3="00000000" w:csb0="80000000" w:csb1="00000000"/>
  </w:font>
  <w:font w:name="Calibri">
    <w:panose1 w:val="020F0302020204030204"/>
    <w:charset w:val="00"/>
    <w:family w:val="swiss"/>
    <w:pitch w:val="default"/>
    <w:sig w:usb0="A00002EF" w:usb1="4000207B" w:usb2="00000000" w:usb3="00000000" w:csb0="2000019F" w:csb1="00000000"/>
  </w:font>
  <w:font w:name="方正书宋_GBK">
    <w:panose1 w:val="02000000000000000000"/>
    <w:charset w:val="86"/>
    <w:family w:val="auto"/>
    <w:pitch w:val="default"/>
    <w:sig w:usb0="00000001" w:usb1="0800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MS Outlook">
    <w:panose1 w:val="05010100010000000000"/>
    <w:charset w:val="00"/>
    <w:family w:val="auto"/>
    <w:pitch w:val="default"/>
    <w:sig w:usb0="00000000" w:usb1="00000000" w:usb2="00000000" w:usb3="00000000" w:csb0="80000000" w:csb1="00000000"/>
  </w:font>
  <w:font w:name="DejaVu Sans">
    <w:panose1 w:val="020B0603030804020204"/>
    <w:charset w:val="00"/>
    <w:family w:val="auto"/>
    <w:pitch w:val="default"/>
    <w:sig w:usb0="E7006EFF" w:usb1="D200FDFF" w:usb2="0A246029" w:usb3="0400200C" w:csb0="600001FF" w:csb1="DFFF0000"/>
  </w:font>
  <w:font w:name="Wingdings 3">
    <w:panose1 w:val="05040102010807070707"/>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614D2A">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E8622EB">
                          <w:pPr>
                            <w:pStyle w:val="4"/>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0E8622EB">
                    <w:pPr>
                      <w:pStyle w:val="4"/>
                      <w:rPr>
                        <w:rFonts w:hint="default" w:ascii="Times New Roman" w:hAnsi="Times New Roman" w:cs="Times New Roman"/>
                        <w:sz w:val="28"/>
                        <w:szCs w:val="28"/>
                      </w:rPr>
                    </w:pPr>
                    <w:r>
                      <w:rPr>
                        <w:rFonts w:hint="default" w:ascii="Times New Roman" w:hAnsi="Times New Roman" w:cs="Times New Roman"/>
                        <w:sz w:val="28"/>
                        <w:szCs w:val="28"/>
                      </w:rPr>
                      <w:t xml:space="preserve">— </w:t>
                    </w:r>
                    <w:r>
                      <w:rPr>
                        <w:rFonts w:hint="default" w:ascii="Times New Roman" w:hAnsi="Times New Roman" w:cs="Times New Roman"/>
                        <w:sz w:val="28"/>
                        <w:szCs w:val="28"/>
                      </w:rPr>
                      <w:fldChar w:fldCharType="begin"/>
                    </w:r>
                    <w:r>
                      <w:rPr>
                        <w:rFonts w:hint="default" w:ascii="Times New Roman" w:hAnsi="Times New Roman" w:cs="Times New Roman"/>
                        <w:sz w:val="28"/>
                        <w:szCs w:val="28"/>
                      </w:rPr>
                      <w:instrText xml:space="preserve"> PAGE  \* MERGEFORMAT </w:instrText>
                    </w:r>
                    <w:r>
                      <w:rPr>
                        <w:rFonts w:hint="default" w:ascii="Times New Roman" w:hAnsi="Times New Roman" w:cs="Times New Roman"/>
                        <w:sz w:val="28"/>
                        <w:szCs w:val="28"/>
                      </w:rPr>
                      <w:fldChar w:fldCharType="separate"/>
                    </w:r>
                    <w:r>
                      <w:rPr>
                        <w:rFonts w:hint="default" w:ascii="Times New Roman" w:hAnsi="Times New Roman" w:cs="Times New Roman"/>
                        <w:sz w:val="28"/>
                        <w:szCs w:val="28"/>
                      </w:rPr>
                      <w:t>1</w:t>
                    </w:r>
                    <w:r>
                      <w:rPr>
                        <w:rFonts w:hint="default" w:ascii="Times New Roman" w:hAnsi="Times New Roman" w:cs="Times New Roman"/>
                        <w:sz w:val="28"/>
                        <w:szCs w:val="28"/>
                      </w:rPr>
                      <w:fldChar w:fldCharType="end"/>
                    </w:r>
                    <w:r>
                      <w:rPr>
                        <w:rFonts w:hint="default" w:ascii="Times New Roman" w:hAnsi="Times New Roman" w:cs="Times New Roman"/>
                        <w:sz w:val="28"/>
                        <w:szCs w:val="28"/>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7EDEE4"/>
    <w:multiLevelType w:val="singleLevel"/>
    <w:tmpl w:val="FB7EDEE4"/>
    <w:lvl w:ilvl="0" w:tentative="0">
      <w:start w:val="1"/>
      <w:numFmt w:val="chineseCounting"/>
      <w:suff w:val="nothing"/>
      <w:lvlText w:val="%1、"/>
      <w:lvlJc w:val="left"/>
      <w:rPr>
        <w:rFonts w:hint="eastAsia"/>
      </w:rPr>
    </w:lvl>
  </w:abstractNum>
  <w:abstractNum w:abstractNumId="1">
    <w:nsid w:val="35B7E439"/>
    <w:multiLevelType w:val="singleLevel"/>
    <w:tmpl w:val="35B7E439"/>
    <w:lvl w:ilvl="0" w:tentative="0">
      <w:start w:val="1"/>
      <w:numFmt w:val="chineseCounting"/>
      <w:suff w:val="nothing"/>
      <w:lvlText w:val="（%1）"/>
      <w:lvlJc w:val="left"/>
      <w:rPr>
        <w:rFonts w:hint="eastAsia"/>
      </w:rPr>
    </w:lvl>
  </w:abstractNum>
  <w:abstractNum w:abstractNumId="2">
    <w:nsid w:val="7AF3AD8A"/>
    <w:multiLevelType w:val="singleLevel"/>
    <w:tmpl w:val="7AF3AD8A"/>
    <w:lvl w:ilvl="0" w:tentative="0">
      <w:start w:val="1"/>
      <w:numFmt w:val="chineseCounting"/>
      <w:suff w:val="nothing"/>
      <w:lvlText w:val="（%1）"/>
      <w:lvlJc w:val="left"/>
      <w:pPr>
        <w:ind w:left="0" w:firstLine="0"/>
      </w:pPr>
      <w:rPr>
        <w:rFonts w:hint="eastAsia" w:ascii="仿宋_GB2312" w:hAnsi="仿宋_GB2312" w:eastAsia="仿宋_GB2312" w:cs="仿宋_GB2312"/>
      </w:rPr>
    </w:lvl>
  </w:abstractNum>
  <w:abstractNum w:abstractNumId="3">
    <w:nsid w:val="7AF95D89"/>
    <w:multiLevelType w:val="singleLevel"/>
    <w:tmpl w:val="7AF95D89"/>
    <w:lvl w:ilvl="0" w:tentative="0">
      <w:start w:val="1"/>
      <w:numFmt w:val="chineseCounting"/>
      <w:suff w:val="nothing"/>
      <w:lvlText w:val="（%1）"/>
      <w:lvlJc w:val="left"/>
      <w:pPr>
        <w:ind w:left="0" w:firstLine="0"/>
      </w:pPr>
      <w:rPr>
        <w:rFonts w:hint="eastAsia" w:ascii="仿宋_GB2312" w:hAnsi="仿宋_GB2312" w:eastAsia="仿宋_GB2312" w:cs="仿宋_GB2312"/>
        <w:sz w:val="32"/>
        <w:szCs w:val="32"/>
      </w:rPr>
    </w:lvl>
  </w:abstractNum>
  <w:abstractNum w:abstractNumId="4">
    <w:nsid w:val="7FAF1918"/>
    <w:multiLevelType w:val="singleLevel"/>
    <w:tmpl w:val="7FAF1918"/>
    <w:lvl w:ilvl="0" w:tentative="0">
      <w:start w:val="1"/>
      <w:numFmt w:val="chineseCounting"/>
      <w:suff w:val="nothing"/>
      <w:lvlText w:val="（%1）"/>
      <w:lvlJc w:val="left"/>
      <w:pPr>
        <w:ind w:left="0" w:firstLine="0"/>
      </w:pPr>
      <w:rPr>
        <w:rFonts w:hint="eastAsia" w:ascii="仿宋_GB2312" w:hAnsi="仿宋_GB2312" w:eastAsia="仿宋_GB2312" w:cs="仿宋_GB2312"/>
      </w:rPr>
    </w:lvl>
  </w:abstractNum>
  <w:num w:numId="1">
    <w:abstractNumId w:val="0"/>
  </w:num>
  <w:num w:numId="2">
    <w:abstractNumId w:val="3"/>
  </w:num>
  <w:num w:numId="3">
    <w:abstractNumId w:val="1"/>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M1ZmE5YWIwMzY1MGI3MDlkNjdlZmE2N2E4ODNmODcifQ=="/>
  </w:docVars>
  <w:rsids>
    <w:rsidRoot w:val="00172A27"/>
    <w:rsid w:val="025E7E33"/>
    <w:rsid w:val="027F0649"/>
    <w:rsid w:val="040D4749"/>
    <w:rsid w:val="055423B4"/>
    <w:rsid w:val="05F86044"/>
    <w:rsid w:val="07994D05"/>
    <w:rsid w:val="090645D9"/>
    <w:rsid w:val="0910449A"/>
    <w:rsid w:val="09DC429A"/>
    <w:rsid w:val="0B992054"/>
    <w:rsid w:val="0EA578A0"/>
    <w:rsid w:val="109A5D19"/>
    <w:rsid w:val="128A03DC"/>
    <w:rsid w:val="13CE6954"/>
    <w:rsid w:val="170830C2"/>
    <w:rsid w:val="183D6091"/>
    <w:rsid w:val="1AAD645B"/>
    <w:rsid w:val="1BB359DE"/>
    <w:rsid w:val="1CFC0BFA"/>
    <w:rsid w:val="1D143CEE"/>
    <w:rsid w:val="1D4D63B3"/>
    <w:rsid w:val="1DA23AAF"/>
    <w:rsid w:val="1E3B5ED4"/>
    <w:rsid w:val="1F464788"/>
    <w:rsid w:val="20FA613A"/>
    <w:rsid w:val="231545AA"/>
    <w:rsid w:val="27A40BE5"/>
    <w:rsid w:val="2BDF012C"/>
    <w:rsid w:val="2F1F230A"/>
    <w:rsid w:val="30CF603C"/>
    <w:rsid w:val="30F17110"/>
    <w:rsid w:val="32C6357C"/>
    <w:rsid w:val="337C64A2"/>
    <w:rsid w:val="35304E5F"/>
    <w:rsid w:val="36C13669"/>
    <w:rsid w:val="37215DAE"/>
    <w:rsid w:val="39DE79B6"/>
    <w:rsid w:val="3A0D759D"/>
    <w:rsid w:val="3AB71A96"/>
    <w:rsid w:val="3AC33153"/>
    <w:rsid w:val="3B343A9E"/>
    <w:rsid w:val="3B9A1DFB"/>
    <w:rsid w:val="3D2051E8"/>
    <w:rsid w:val="3D9740E7"/>
    <w:rsid w:val="3E526913"/>
    <w:rsid w:val="3F7B17E1"/>
    <w:rsid w:val="3FCBF7F9"/>
    <w:rsid w:val="3FFA1CD6"/>
    <w:rsid w:val="41171658"/>
    <w:rsid w:val="41494FEB"/>
    <w:rsid w:val="43CC5E6C"/>
    <w:rsid w:val="45943BEF"/>
    <w:rsid w:val="47203E78"/>
    <w:rsid w:val="48D11A52"/>
    <w:rsid w:val="48EE11F4"/>
    <w:rsid w:val="49156104"/>
    <w:rsid w:val="4A69068A"/>
    <w:rsid w:val="4AA14019"/>
    <w:rsid w:val="4BDC1E4C"/>
    <w:rsid w:val="4D9D560B"/>
    <w:rsid w:val="4E46025B"/>
    <w:rsid w:val="4F602D94"/>
    <w:rsid w:val="51FF4AE6"/>
    <w:rsid w:val="5301433A"/>
    <w:rsid w:val="5697709C"/>
    <w:rsid w:val="571A4550"/>
    <w:rsid w:val="58C54505"/>
    <w:rsid w:val="58C97237"/>
    <w:rsid w:val="5AFE1DDF"/>
    <w:rsid w:val="5B86527B"/>
    <w:rsid w:val="5BBE1FA3"/>
    <w:rsid w:val="5BE663CF"/>
    <w:rsid w:val="5C1D7B57"/>
    <w:rsid w:val="5D207A16"/>
    <w:rsid w:val="5D8827E5"/>
    <w:rsid w:val="5EFA466C"/>
    <w:rsid w:val="5F763632"/>
    <w:rsid w:val="60264CC4"/>
    <w:rsid w:val="60A25F05"/>
    <w:rsid w:val="61914B82"/>
    <w:rsid w:val="63353BC0"/>
    <w:rsid w:val="64C47634"/>
    <w:rsid w:val="654E3963"/>
    <w:rsid w:val="655B4D51"/>
    <w:rsid w:val="674A7ECC"/>
    <w:rsid w:val="67D80E98"/>
    <w:rsid w:val="680810AE"/>
    <w:rsid w:val="68AB7A6B"/>
    <w:rsid w:val="69B122DF"/>
    <w:rsid w:val="6A967CC8"/>
    <w:rsid w:val="6CDF4A3C"/>
    <w:rsid w:val="6DB85CD8"/>
    <w:rsid w:val="6DE7663F"/>
    <w:rsid w:val="6E8D4E3C"/>
    <w:rsid w:val="6F7E6BF3"/>
    <w:rsid w:val="6F8563E2"/>
    <w:rsid w:val="71BE0198"/>
    <w:rsid w:val="72F63F65"/>
    <w:rsid w:val="74FBD9EC"/>
    <w:rsid w:val="75271ADB"/>
    <w:rsid w:val="75EB00E7"/>
    <w:rsid w:val="76A258BD"/>
    <w:rsid w:val="76A553AD"/>
    <w:rsid w:val="777E2AB0"/>
    <w:rsid w:val="7A4D1BA1"/>
    <w:rsid w:val="7B494559"/>
    <w:rsid w:val="7D32101D"/>
    <w:rsid w:val="7DCA7235"/>
    <w:rsid w:val="B7FFE68D"/>
    <w:rsid w:val="E7F7AD51"/>
    <w:rsid w:val="F87B503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unhideWhenUsed/>
    <w:qFormat/>
    <w:uiPriority w:val="99"/>
    <w:pPr>
      <w:spacing w:beforeLines="0" w:after="120" w:afterLines="0"/>
    </w:pPr>
    <w:rPr>
      <w:rFonts w:hint="default"/>
      <w:sz w:val="21"/>
      <w:szCs w:val="21"/>
    </w:rPr>
  </w:style>
  <w:style w:type="paragraph" w:styleId="3">
    <w:name w:val="annotation text"/>
    <w:basedOn w:val="1"/>
    <w:qFormat/>
    <w:uiPriority w:val="0"/>
    <w:pPr>
      <w:jc w:val="left"/>
    </w:pPr>
  </w:style>
  <w:style w:type="paragraph" w:styleId="4">
    <w:name w:val="footer"/>
    <w:basedOn w:val="1"/>
    <w:unhideWhenUsed/>
    <w:qFormat/>
    <w:uiPriority w:val="0"/>
    <w:pPr>
      <w:tabs>
        <w:tab w:val="center" w:pos="4153"/>
        <w:tab w:val="right" w:pos="8306"/>
      </w:tabs>
      <w:snapToGrid w:val="0"/>
      <w:spacing w:beforeLines="0" w:afterLines="0"/>
      <w:jc w:val="left"/>
    </w:pPr>
    <w:rPr>
      <w:rFonts w:hint="default"/>
      <w:sz w:val="18"/>
      <w:szCs w:val="24"/>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1563</Words>
  <Characters>1610</Characters>
  <Lines>0</Lines>
  <Paragraphs>0</Paragraphs>
  <TotalTime>0</TotalTime>
  <ScaleCrop>false</ScaleCrop>
  <LinksUpToDate>false</LinksUpToDate>
  <CharactersWithSpaces>1611</CharactersWithSpaces>
  <Application>WPS Office_12.1.2.25882_F1E327BC-269C-435d-A152-05C5408002CA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2023-06-08T15:17:00Z</dcterms:created>
  <dc:creator>admin</dc:creator>
  <cp:lastModifiedBy>陈迪良</cp:lastModifiedBy>
  <cp:lastPrinted>2023-07-04T19:27:00Z</cp:lastPrinted>
  <dcterms:modified xsi:type="dcterms:W3CDTF">2026-06-18T16:25:32Z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2052-12.1.2.25882</vt:lpwstr>
  </property>
  <property fmtid="{D5CDD505-2E9C-101B-9397-08002B2CF9AE}" pid="3" name="ICV">
    <vt:lpwstr>268DC0BE540746A1929FA1FA8A6BC956_13</vt:lpwstr>
  </property>
</Properties>
</file>